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1621EA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1621E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A6230" w:rsidRPr="001621EA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="009F5594" w:rsidRPr="001621EA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162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1621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A6230" w:rsidRPr="001621E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82C" w:rsidRPr="001621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 w:rsidRPr="0016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B6" w:rsidRPr="001621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A08" w:rsidRPr="0016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1621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621EA">
        <w:rPr>
          <w:rFonts w:ascii="Times New Roman" w:hAnsi="Times New Roman" w:cs="Times New Roman"/>
          <w:b/>
          <w:sz w:val="28"/>
          <w:szCs w:val="28"/>
        </w:rPr>
        <w:t>72</w:t>
      </w:r>
      <w:r w:rsidR="00F44F17" w:rsidRPr="001621E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16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1621EA">
        <w:rPr>
          <w:rFonts w:ascii="Times New Roman" w:hAnsi="Times New Roman" w:cs="Times New Roman"/>
          <w:b/>
          <w:sz w:val="28"/>
          <w:szCs w:val="28"/>
        </w:rPr>
        <w:t>па</w:t>
      </w:r>
    </w:p>
    <w:p w:rsidR="00781E43" w:rsidRPr="001621EA" w:rsidRDefault="005D652D" w:rsidP="00781E43">
      <w:pPr>
        <w:rPr>
          <w:rFonts w:ascii="Times New Roman" w:hAnsi="Times New Roman" w:cs="Times New Roman"/>
          <w:b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0"/>
      </w:tblGrid>
      <w:tr w:rsidR="001621EA" w:rsidRPr="001621EA" w:rsidTr="001621EA">
        <w:trPr>
          <w:trHeight w:val="956"/>
        </w:trPr>
        <w:tc>
          <w:tcPr>
            <w:tcW w:w="9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1EA" w:rsidRPr="001621EA" w:rsidRDefault="00162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21EA" w:rsidRPr="001621EA" w:rsidRDefault="001621EA" w:rsidP="001621EA">
            <w:pPr>
              <w:ind w:right="30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порядке ликвидации аварийных ситуаций в системах теплоснабжения с учетом взаимодействия тепл</w:t>
            </w:r>
            <w:proofErr w:type="gramStart"/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,-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топливо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водоснабжающих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организаций, потребителей тепловой энергии, ремонтно-строительных и транспортных организаций, а так же органов местного самоуправления.</w:t>
            </w:r>
          </w:p>
        </w:tc>
      </w:tr>
    </w:tbl>
    <w:p w:rsidR="001621EA" w:rsidRPr="001621EA" w:rsidRDefault="001621EA" w:rsidP="001621E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21EA" w:rsidRPr="001621EA" w:rsidRDefault="001621EA" w:rsidP="001621E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Постановления Администрации Рамешковского района Тверской области №99-па от 30.04.2013 года «О подготовке объектов социальной сферы Рамешковского района к предстоящему отопительному сезону и осуществлению контроля за их работой в осенне-зимний период 2013-2014 годов»,  </w:t>
      </w:r>
      <w:r w:rsidRPr="001621E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N 190-ФЗ "О теплоснабжении", Приказом Министерства энергетики РФ от 12.03.2013г. №103 «Об утверждении правил оценки готовности к отопительному сезону»</w:t>
      </w:r>
      <w:r w:rsidR="000B7A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</w:t>
      </w:r>
      <w:proofErr w:type="gramEnd"/>
      <w:r w:rsidR="000B7A9C">
        <w:rPr>
          <w:rFonts w:ascii="Times New Roman" w:eastAsia="Times New Roman" w:hAnsi="Times New Roman" w:cs="Times New Roman"/>
          <w:sz w:val="28"/>
          <w:szCs w:val="28"/>
        </w:rPr>
        <w:t xml:space="preserve"> поселения Ведное</w:t>
      </w: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1621EA" w:rsidRPr="001621EA" w:rsidRDefault="000B7A9C" w:rsidP="001621EA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1621EA"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21EA" w:rsidRPr="001621EA" w:rsidRDefault="001621EA" w:rsidP="001621EA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"Порядок </w:t>
      </w: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,-</w:t>
      </w:r>
      <w:proofErr w:type="spellStart"/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</w:t>
      </w:r>
      <w:proofErr w:type="spellEnd"/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топливо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водоснабжающих</w:t>
      </w:r>
      <w:proofErr w:type="spellEnd"/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 же органов местного самоуправления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" (приложение № 1).</w:t>
      </w: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2. Довести указанный Порядок до сведения руководителей: ПКФ «МУПАРР», МУП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Жилкоммунсервис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Газремсервис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», МУП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Агротранс-Рамешки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», ГУП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Рамешковское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ДРСУ», «МРСК Центра»-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Тверьэнерго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Рамешковский газовый участок ССМ ПТП «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Тверьмежрайгаз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«УЖК».</w:t>
      </w: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1621EA">
        <w:rPr>
          <w:rFonts w:ascii="Times New Roman" w:hAnsi="Times New Roman" w:cs="Times New Roman"/>
          <w:sz w:val="28"/>
          <w:szCs w:val="28"/>
        </w:rPr>
        <w:t>Обнародовать постановление на стенде для обнародования НПА, разместить на официальном сайте  сельского поселения в сети Интернет.</w:t>
      </w: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4. Настоящее постановление обязательно для всех предприятий жизнеобеспече</w:t>
      </w:r>
      <w:r w:rsidR="000B7A9C">
        <w:rPr>
          <w:rFonts w:ascii="Times New Roman" w:hAnsi="Times New Roman" w:cs="Times New Roman"/>
          <w:sz w:val="28"/>
          <w:szCs w:val="28"/>
        </w:rPr>
        <w:t>ния работающих на территории сельского поселения</w:t>
      </w:r>
      <w:r w:rsidRPr="0016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1621EA">
        <w:rPr>
          <w:rFonts w:ascii="Times New Roman" w:hAnsi="Times New Roman" w:cs="Times New Roman"/>
          <w:sz w:val="28"/>
          <w:szCs w:val="28"/>
        </w:rPr>
        <w:t>.</w:t>
      </w: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21EA" w:rsidRPr="001621EA" w:rsidRDefault="001621EA" w:rsidP="001621EA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B7A9C" w:rsidRDefault="001621EA" w:rsidP="000B7A9C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1621E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A9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B7A9C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1621EA" w:rsidRPr="000B7A9C" w:rsidRDefault="001621EA" w:rsidP="000B7A9C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B7A9C" w:rsidRDefault="000B7A9C" w:rsidP="001621EA">
      <w:pPr>
        <w:shd w:val="clear" w:color="auto" w:fill="FFFFFF"/>
        <w:spacing w:line="240" w:lineRule="atLeast"/>
        <w:ind w:right="-1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п</w:t>
      </w:r>
      <w:r w:rsidR="001621EA"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</w:t>
      </w:r>
    </w:p>
    <w:p w:rsidR="001621EA" w:rsidRPr="001621EA" w:rsidRDefault="001621EA" w:rsidP="001621EA">
      <w:pPr>
        <w:shd w:val="clear" w:color="auto" w:fill="FFFFFF"/>
        <w:spacing w:line="240" w:lineRule="atLeast"/>
        <w:ind w:right="-1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0B7A9C"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1621EA" w:rsidRPr="001621EA" w:rsidRDefault="001621EA" w:rsidP="001621EA">
      <w:pPr>
        <w:shd w:val="clear" w:color="auto" w:fill="FFFFFF"/>
        <w:spacing w:line="240" w:lineRule="atLeast"/>
        <w:ind w:right="-1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Ведное</w:t>
      </w:r>
    </w:p>
    <w:p w:rsidR="001621EA" w:rsidRPr="001621EA" w:rsidRDefault="000B7A9C" w:rsidP="001621EA">
      <w:pPr>
        <w:shd w:val="clear" w:color="auto" w:fill="FFFFFF"/>
        <w:spacing w:line="240" w:lineRule="atLeast"/>
        <w:ind w:right="-1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 30  сентября  2013 г. № 72</w:t>
      </w:r>
    </w:p>
    <w:p w:rsidR="001621EA" w:rsidRPr="001621EA" w:rsidRDefault="001621EA" w:rsidP="001621EA">
      <w:pPr>
        <w:shd w:val="clear" w:color="auto" w:fill="FFFFFF"/>
        <w:spacing w:line="240" w:lineRule="atLeast"/>
        <w:ind w:right="684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21EA" w:rsidRPr="001621EA" w:rsidRDefault="001621EA" w:rsidP="001621EA">
      <w:pPr>
        <w:shd w:val="clear" w:color="auto" w:fill="FFFFFF"/>
        <w:spacing w:line="240" w:lineRule="atLeast"/>
        <w:ind w:right="684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21EA" w:rsidRPr="001621EA" w:rsidRDefault="001621EA" w:rsidP="001621E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ЛИКВИДАЦИИ, ЛОКАЛИЗАЦИИ ТЕХНОЛОГИЧЕСКИХ НАРУШЕНИЙ И ВЗАИМОДЕЙСТВИЯ ТЕПЛО, ЭЛЕКТРО, ВОДОСНАБЖАЮЩИХ ОРГАНИЗАЦИЙ, ОРГАНОВ МЕСТНОГО САМОУПРАВЛЕНИЯ ПРИ УСТРАНЕНИИ АВАРИЙ И ИНЦИДЕНТОВ НА ОБЪЕКТАХ ЖКХ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ВЕДНОЕ</w:t>
      </w: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21EA" w:rsidRPr="001621EA" w:rsidRDefault="001621EA" w:rsidP="001621E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Общие положения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Порядок разработан в соответствии с действующим законодательством, нормами и правилами в области </w:t>
      </w:r>
      <w:bookmarkStart w:id="0" w:name="_GoBack"/>
      <w:bookmarkEnd w:id="0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коммунальных услуг потребителям, на основании: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Жилищного кодекса Российской Федерации от 29.12.2004 N 188-ФЗ,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06.10.2003 N 131-ФЗ "Об общих принципах организации местного самоуправления в Российской Федерации",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Правительства РФ от 6 мая 2011 года N 354 "О предоставлении коммунальных услуг собственникам и пользователям помещений в многоквартирных домах и жилых домов" (в редакции от 22.07.2013 года).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«Правила пользования системами коммунального водоснабжения и канализации в Российской Федерации», утвержденными постановлением Правительства РФ от 12.02.1999 №167 (с изменениями на 29.07.2013г).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МДС 13-17.2000 «Методические рекомендации по ликвидации нарушений в содержании и использовании жилищного фонда  и придомовых территорий», утвержденных приказом Департамента жилищно-коммунального хозяйства Минстроя РФ от 29.03.1995 №8 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«Положения о порядке расследования причин аварий зданий и сооружений и их частей и конструктивных элементов на территории Российской Федерации», утвержденного приказом Минстроя РФ от 06.12.1994 №17-48.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 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Порядка распространяется на отношения организаций (учреждений, органов местного самоуправления, предприятий, юридических лиц, собственников жилья), участвующих в процессе обеспечения и предоставления коммунальных услуг потребителям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Ведное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настоящем Порядке используются следующие понятия, определения и сокращения: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АПВ – автоматическое повторное включение;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АВР – аварийно-восстановительные работы;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ПУЭ – правила устройства электроустановок;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РП – распределительный пункт;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ТП – трансформаторные подстанции;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АДС – аварийно-диспетчерская служба;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ЛЭП – линии электропередач;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«потребитель» - лицо, пользующееся на праве собственности или ином законном основании помещением в многоквартирном доме, жилым домом, домовладельцем, потребляющее коммунальные услуги;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Авариями в тепловых сетях считаются: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</w:t>
      </w:r>
      <w:proofErr w:type="gram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работоспособности</w:t>
      </w:r>
      <w:proofErr w:type="gram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продолжается более 36 часов;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 трубопроводов тепловой сети, оборудования насосных станций, тепловых пунктов, вызвавшее перерыв теплоснабжения потребителей I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выше 16 часов.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Технологическими отказами в тепловых сетях считаются 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неисправности трубопроводов тепловой сети, оборудования насосных станций, тепловых пунктов (котельных), поиск утечек, вызвавшие перерыв в подаче тепла потребителям I категории (по отоплению) свыше 4 до 8 часов, прекращение теплоснабжения (отопления) объектов соцкультбыта на срок, превышающий условия п. 4.16.1 ГОСТ </w:t>
      </w:r>
      <w:proofErr w:type="gram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51617-2000 "Жилищно-коммунальные услуги. Общие технические условия" (допустимая длительность температуры воздуха в помещении не ниже 12* Цельсия - не более 16 часов; не ниже 10* Цельсия - не более 8 часов; не ниже 8* Цельсия - не более 4 часов).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Функциональными отказами (инцидентами) в тепловых сетях считаются 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и водоснабжении.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Инцидентами в тепловых сетях не являются 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 трубопроводов и оборудования, выявленные во время испытаний, проводимых в неотопительный период.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Авариями в электрических сетях считаются: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кВ и выше), восстановление работоспособности которых может быть произведено в срок более 7 суток после выхода из строя;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ее из строя: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линия за период более 3 суток;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кабельная линия за период более 10 суток;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одного и более потребителей первой категории, </w:t>
      </w:r>
      <w:proofErr w:type="gram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превышающий</w:t>
      </w:r>
      <w:proofErr w:type="gram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действия устройств АПВ или АВР </w:t>
      </w:r>
      <w:proofErr w:type="spell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электроснабжающей</w:t>
      </w:r>
      <w:proofErr w:type="spellEnd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организации. При несоответствии схемы питания потребителей первой категории требованиям ПУЭ аварией считается 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Технологическими отказами в электрических сетях считаются 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ее из строя: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линия за период от 12 часов до 3 суток;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кабельная линия за период от 2 до 10 суток;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одного и более потребителей второй категории продолжительностью от 3 до 10 часов;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одного и более потребителей третьей категории продолжительностью более 10 до 24 часов.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Функциональными отказами в электрических сетях считаются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 нарушения режима работы, не вызвавшие последствий, а также: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 из строя измерительных трансформаторов, разрядников, трансформаторов и др., не относящихся к основному оборудованию;</w:t>
      </w:r>
    </w:p>
    <w:p w:rsidR="001621EA" w:rsidRPr="001621EA" w:rsidRDefault="001621EA" w:rsidP="001621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 из строя устройств АПВ, АВР, релейной защиты, телемеханики.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относится к инцидентам в электрических сетях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из работы оборудования по оперативной заявке для устранения мелких дефектов и неисправностей (замена элементов опоры, подтяжка  бандажей, чистка изоляции, устранение течи масла в трансформаторах,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  <w:proofErr w:type="gramEnd"/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постоянная подготовка персонала к ликвидации возможных технологических </w:t>
      </w: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нарушений путем своевременного проведения противоаварийных тренировок, повышения качества профессиональной подготовки;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необходимых аварийных запасов материалов к оборудованию;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персонала средствами связи, пожаротушения, автотранспортом и др. механизмами, необходимыми средствами защиты;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переключения;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 же, при возможности, с использованием персональных компьютеров;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 персонала при приеме на работу, а также в процессе трудовой деятельности по готовности к оперативной работе.</w:t>
      </w:r>
    </w:p>
    <w:p w:rsidR="001621EA" w:rsidRPr="001621EA" w:rsidRDefault="001621EA" w:rsidP="001621E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621EA" w:rsidRPr="001621EA" w:rsidRDefault="001621EA" w:rsidP="001621E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Порядок ликвидации, локализации и взаимодействия жилищно-коммунальных предприятий,  находящихся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Ведное</w:t>
      </w:r>
    </w:p>
    <w:p w:rsidR="001621EA" w:rsidRPr="001621EA" w:rsidRDefault="001621EA" w:rsidP="001621E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возникновении аварийных ситуаций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в органы местного самоуправления администрацию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Ведное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 В случае возникновения аварий и технологических нарушений на объектах жизнеобеспечения ЕДС (единая диспетчерская служба) предприятия жизнеобеспечения в течение часа по интернету (</w:t>
      </w:r>
      <w:hyperlink r:id="rId8" w:history="1">
        <w:r w:rsidRPr="001621EA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spzastolbie</w:t>
        </w:r>
        <w:r w:rsidRPr="001621EA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Pr="001621EA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</w:hyperlink>
      <w:r w:rsidRPr="001621EA">
        <w:rPr>
          <w:rStyle w:val="aa"/>
          <w:rFonts w:ascii="Times New Roman" w:hAnsi="Times New Roman" w:cs="Times New Roman"/>
          <w:bCs/>
          <w:sz w:val="28"/>
          <w:szCs w:val="28"/>
        </w:rPr>
        <w:t>.</w:t>
      </w:r>
      <w:r w:rsidRPr="001621EA">
        <w:rPr>
          <w:rStyle w:val="aa"/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администрацию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Ведное</w:t>
      </w:r>
      <w:r w:rsidR="000B7A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(или) по телефонам (26-4-41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и в диспетчерские службы предприятий жизнеобеспечения.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    Передача донесений может производиться по телефонным и электронным средствам связи с использованием различных систем передачи информации.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  В донесении должны содержаться следующие требования: полное наименование и техническая характеристика объекта, наименование эксплуатационной организации, место расположения объекта (почтовый или строительный адрес), дата и время аварии, характер и объем нарушений, сведения о пострадавших и погибших, обстоятельствах, при которых  произошла авария, сведения о назначенной местной комиссии  и вероятной причины аварии.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 предприятия жизнеобеспечения должна содержать следующие сведения: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наименование населенного пункта, наименование и адрес объекта аварии;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краткое описание причин и характера аварии;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время начала прекращения подачи энергоресурсов по потребителям;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перечень объектов, подлежащих отключению от энергоресурсов, и объекты, которым прекращена подача энергоресурсов;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объем повреждений и разрушений, состояние коммуникаций, вышедших из строя, 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том числе по видам: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 коммуникаций, энергосистем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показатели параметров состояния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ЛЭП (распределительные линии)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мощность (кВ)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протяженность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опор (</w:t>
      </w:r>
      <w:proofErr w:type="spellStart"/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трансформаторных подстанций (</w:t>
      </w:r>
      <w:proofErr w:type="spellStart"/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Линии связи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протяженность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–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линий связи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Системы теплоснабжения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протяженность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–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тип, диаметр труб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Системы водоснабжения и водоотведения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протяженность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–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тип, диаметр труб (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-     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давление, для оборудования – мощность, тип и количество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время начала работ по ликвидации аварии, количество аварийных бригад и их численность, ответственное лицо предприятия жизнеобеспечения за организацию и ход работы на объекте аварии, контактный телефон;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планируемое время прекращения работ.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2.5.   Предприятия (организации) жизнеобеспечения на территории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Ведное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должны иметь аварийно – диспетчерскую службу (АДС).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    Основными задачами диспетчерского управления при ликвидации технологических нарушений являются: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предотвращение развития нарушений, предупреждений травм персонала и повреждения оборудования, не затронутого технологическим нарушением;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создание наиболее надежных послеаварийных схем и режима работы системы в целом и ее частей;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выяснение состояния отключившегося и отключенного оборудования и при возможности включение его в работу;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включение оборудования в работу и восстановление схемы сети, работоспособности оборудования.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  На каждом диспетчерском пункте, щите управления организации должны находиться: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планы ликвидации технологических нарушений и аварий (в сетях, топливном хозяйстве и котельных и т.п.);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номера телефонов для связи с руководителями и администрацией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Ведное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 номера сотовых телефонов.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2.8.  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жизнеобеспечения и органе местного самоуправления.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2.9.  В случае возникновения аварий и технологических нарушений на объектах жизнеобеспечения должны руководствоваться утвержденным на предприятии «Порядком ликвидации аварий и технологических нарушений на объектах жизнеобеспечения», составленным в соответствии с действующими правилами.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2.10.  АДС предприятия жизнеобеспечения при организации работ и ликвидации аварий и возобновления подачи энергоснабжения потребителям и направляет соответствующую информацию в органы местного самоуправления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Ведное</w:t>
      </w: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2.11.  Предприятие жизнеобеспечения при организации работ и ликвидации аварий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 (теплоснабжению).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2.12.  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процесса, меры по обеспечению безопасности людей, по охранен окружающей среды и сохранности оборудования в связи с прекращением подачи энергоресурсов.</w:t>
      </w:r>
      <w:proofErr w:type="gramEnd"/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2.13. 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 последствий аварии и ущерба.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2.14.  На время ликвидации аварии и технологических нарушений предприятие (организация) жизнеобеспечения по согласованию с органами местного самоуправления и службами </w:t>
      </w:r>
      <w:proofErr w:type="spell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организует подачу энергоресурсов в отдельные населенные пункты по графикам с обязательным оповещением потребителей о режимах их обеспечения (отпуска).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2.15.  Органы местного самоуправления ведут </w:t>
      </w:r>
      <w:proofErr w:type="gramStart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средств.</w:t>
      </w:r>
    </w:p>
    <w:p w:rsidR="001621EA" w:rsidRPr="001621EA" w:rsidRDefault="001621EA" w:rsidP="001621E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21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1E43" w:rsidRPr="001621EA" w:rsidRDefault="00781E43" w:rsidP="00781E43">
      <w:pPr>
        <w:rPr>
          <w:rFonts w:ascii="Times New Roman" w:hAnsi="Times New Roman" w:cs="Times New Roman"/>
          <w:b/>
          <w:sz w:val="28"/>
          <w:szCs w:val="28"/>
        </w:rPr>
      </w:pPr>
    </w:p>
    <w:p w:rsidR="0043490F" w:rsidRPr="00486767" w:rsidRDefault="0043490F" w:rsidP="00486767">
      <w:pPr>
        <w:rPr>
          <w:rFonts w:ascii="Times New Roman" w:hAnsi="Times New Roman" w:cs="Times New Roman"/>
          <w:b/>
          <w:sz w:val="28"/>
          <w:szCs w:val="28"/>
        </w:rPr>
      </w:pPr>
    </w:p>
    <w:p w:rsidR="0043490F" w:rsidRPr="00912AFD" w:rsidRDefault="0043490F" w:rsidP="00912AFD">
      <w:pPr>
        <w:pStyle w:val="af1"/>
        <w:jc w:val="both"/>
        <w:rPr>
          <w:rFonts w:ascii="Times New Roman" w:hAnsi="Times New Roman" w:cs="Times New Roman"/>
          <w:b w:val="0"/>
          <w:iCs/>
          <w:sz w:val="28"/>
          <w:szCs w:val="28"/>
        </w:rPr>
        <w:sectPr w:rsidR="0043490F" w:rsidRPr="00912AFD" w:rsidSect="00FA1CA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9B2B39" w:rsidRPr="00486767" w:rsidRDefault="009B2B39" w:rsidP="00912AFD">
      <w:pPr>
        <w:rPr>
          <w:rFonts w:ascii="Times New Roman" w:hAnsi="Times New Roman" w:cs="Times New Roman"/>
          <w:sz w:val="28"/>
          <w:szCs w:val="28"/>
        </w:rPr>
      </w:pPr>
    </w:p>
    <w:sectPr w:rsidR="009B2B39" w:rsidRPr="00486767" w:rsidSect="00CF6130">
      <w:footerReference w:type="default" r:id="rId9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9C" w:rsidRDefault="001A339C" w:rsidP="00572B08">
      <w:r>
        <w:separator/>
      </w:r>
    </w:p>
  </w:endnote>
  <w:endnote w:type="continuationSeparator" w:id="0">
    <w:p w:rsidR="001A339C" w:rsidRDefault="001A339C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B" w:rsidRDefault="003818D8">
    <w:pPr>
      <w:pStyle w:val="ae"/>
      <w:ind w:right="360"/>
    </w:pPr>
    <w:r w:rsidRPr="00381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EB540B" w:rsidRDefault="00EB540B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9C" w:rsidRDefault="001A339C" w:rsidP="00572B08">
      <w:r>
        <w:separator/>
      </w:r>
    </w:p>
  </w:footnote>
  <w:footnote w:type="continuationSeparator" w:id="0">
    <w:p w:rsidR="001A339C" w:rsidRDefault="001A339C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2313"/>
    <w:multiLevelType w:val="hybridMultilevel"/>
    <w:tmpl w:val="56D481AE"/>
    <w:lvl w:ilvl="0" w:tplc="3EEE8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F60650"/>
    <w:multiLevelType w:val="hybridMultilevel"/>
    <w:tmpl w:val="03A41BF8"/>
    <w:lvl w:ilvl="0" w:tplc="B8508E48">
      <w:start w:val="1"/>
      <w:numFmt w:val="decimal"/>
      <w:lvlText w:val="%1."/>
      <w:lvlJc w:val="left"/>
      <w:pPr>
        <w:ind w:left="4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1" w:hanging="360"/>
      </w:pPr>
    </w:lvl>
    <w:lvl w:ilvl="2" w:tplc="0419001B" w:tentative="1">
      <w:start w:val="1"/>
      <w:numFmt w:val="lowerRoman"/>
      <w:lvlText w:val="%3."/>
      <w:lvlJc w:val="right"/>
      <w:pPr>
        <w:ind w:left="5621" w:hanging="180"/>
      </w:pPr>
    </w:lvl>
    <w:lvl w:ilvl="3" w:tplc="0419000F" w:tentative="1">
      <w:start w:val="1"/>
      <w:numFmt w:val="decimal"/>
      <w:lvlText w:val="%4."/>
      <w:lvlJc w:val="left"/>
      <w:pPr>
        <w:ind w:left="6341" w:hanging="360"/>
      </w:pPr>
    </w:lvl>
    <w:lvl w:ilvl="4" w:tplc="04190019" w:tentative="1">
      <w:start w:val="1"/>
      <w:numFmt w:val="lowerLetter"/>
      <w:lvlText w:val="%5."/>
      <w:lvlJc w:val="left"/>
      <w:pPr>
        <w:ind w:left="7061" w:hanging="360"/>
      </w:pPr>
    </w:lvl>
    <w:lvl w:ilvl="5" w:tplc="0419001B" w:tentative="1">
      <w:start w:val="1"/>
      <w:numFmt w:val="lowerRoman"/>
      <w:lvlText w:val="%6."/>
      <w:lvlJc w:val="right"/>
      <w:pPr>
        <w:ind w:left="7781" w:hanging="180"/>
      </w:pPr>
    </w:lvl>
    <w:lvl w:ilvl="6" w:tplc="0419000F" w:tentative="1">
      <w:start w:val="1"/>
      <w:numFmt w:val="decimal"/>
      <w:lvlText w:val="%7."/>
      <w:lvlJc w:val="left"/>
      <w:pPr>
        <w:ind w:left="8501" w:hanging="360"/>
      </w:pPr>
    </w:lvl>
    <w:lvl w:ilvl="7" w:tplc="04190019" w:tentative="1">
      <w:start w:val="1"/>
      <w:numFmt w:val="lowerLetter"/>
      <w:lvlText w:val="%8."/>
      <w:lvlJc w:val="left"/>
      <w:pPr>
        <w:ind w:left="9221" w:hanging="360"/>
      </w:pPr>
    </w:lvl>
    <w:lvl w:ilvl="8" w:tplc="0419001B" w:tentative="1">
      <w:start w:val="1"/>
      <w:numFmt w:val="lowerRoman"/>
      <w:lvlText w:val="%9."/>
      <w:lvlJc w:val="right"/>
      <w:pPr>
        <w:ind w:left="9941" w:hanging="180"/>
      </w:pPr>
    </w:lvl>
  </w:abstractNum>
  <w:abstractNum w:abstractNumId="8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34873"/>
    <w:multiLevelType w:val="singleLevel"/>
    <w:tmpl w:val="3754EC02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3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E435C"/>
    <w:multiLevelType w:val="hybridMultilevel"/>
    <w:tmpl w:val="25E296F4"/>
    <w:lvl w:ilvl="0" w:tplc="D05836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30F001D"/>
    <w:multiLevelType w:val="hybridMultilevel"/>
    <w:tmpl w:val="3FB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22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B5AF5"/>
    <w:multiLevelType w:val="singleLevel"/>
    <w:tmpl w:val="AD1C9B60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6">
    <w:nsid w:val="4D770F1E"/>
    <w:multiLevelType w:val="hybridMultilevel"/>
    <w:tmpl w:val="0EF8AB00"/>
    <w:lvl w:ilvl="0" w:tplc="A762E1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DC0551"/>
    <w:multiLevelType w:val="multilevel"/>
    <w:tmpl w:val="3564CC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9">
    <w:nsid w:val="4F3C77F6"/>
    <w:multiLevelType w:val="singleLevel"/>
    <w:tmpl w:val="D96CA370"/>
    <w:lvl w:ilvl="0">
      <w:start w:val="5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31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331C"/>
    <w:multiLevelType w:val="hybridMultilevel"/>
    <w:tmpl w:val="ADC85040"/>
    <w:lvl w:ilvl="0" w:tplc="444A489A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34198A"/>
    <w:multiLevelType w:val="hybridMultilevel"/>
    <w:tmpl w:val="282C96D4"/>
    <w:lvl w:ilvl="0" w:tplc="BE9CF002">
      <w:start w:val="1"/>
      <w:numFmt w:val="decimal"/>
      <w:lvlText w:val="%1."/>
      <w:lvlJc w:val="left"/>
      <w:pPr>
        <w:ind w:left="644" w:hanging="360"/>
      </w:pPr>
      <w:rPr>
        <w:rFonts w:hint="default"/>
        <w:color w:val="494949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4"/>
  </w:num>
  <w:num w:numId="5">
    <w:abstractNumId w:val="35"/>
  </w:num>
  <w:num w:numId="6">
    <w:abstractNumId w:val="15"/>
  </w:num>
  <w:num w:numId="7">
    <w:abstractNumId w:val="2"/>
  </w:num>
  <w:num w:numId="8">
    <w:abstractNumId w:val="12"/>
  </w:num>
  <w:num w:numId="9">
    <w:abstractNumId w:val="2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</w:num>
  <w:num w:numId="13">
    <w:abstractNumId w:val="40"/>
  </w:num>
  <w:num w:numId="14">
    <w:abstractNumId w:val="11"/>
  </w:num>
  <w:num w:numId="15">
    <w:abstractNumId w:val="32"/>
  </w:num>
  <w:num w:numId="16">
    <w:abstractNumId w:val="39"/>
  </w:num>
  <w:num w:numId="17">
    <w:abstractNumId w:val="3"/>
  </w:num>
  <w:num w:numId="18">
    <w:abstractNumId w:val="3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5"/>
  </w:num>
  <w:num w:numId="23">
    <w:abstractNumId w:val="2"/>
    <w:lvlOverride w:ilvl="0">
      <w:startOverride w:val="2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30"/>
  </w:num>
  <w:num w:numId="30">
    <w:abstractNumId w:val="21"/>
  </w:num>
  <w:num w:numId="31">
    <w:abstractNumId w:val="24"/>
  </w:num>
  <w:num w:numId="32">
    <w:abstractNumId w:val="9"/>
  </w:num>
  <w:num w:numId="33">
    <w:abstractNumId w:val="38"/>
  </w:num>
  <w:num w:numId="34">
    <w:abstractNumId w:val="13"/>
  </w:num>
  <w:num w:numId="35">
    <w:abstractNumId w:val="33"/>
  </w:num>
  <w:num w:numId="36">
    <w:abstractNumId w:val="28"/>
  </w:num>
  <w:num w:numId="37">
    <w:abstractNumId w:val="16"/>
  </w:num>
  <w:num w:numId="38">
    <w:abstractNumId w:val="4"/>
  </w:num>
  <w:num w:numId="39">
    <w:abstractNumId w:val="34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0"/>
  </w:num>
  <w:num w:numId="43">
    <w:abstractNumId w:val="29"/>
  </w:num>
  <w:num w:numId="44">
    <w:abstractNumId w:val="36"/>
  </w:num>
  <w:num w:numId="45">
    <w:abstractNumId w:val="26"/>
  </w:num>
  <w:num w:numId="46">
    <w:abstractNumId w:val="17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3B46"/>
    <w:rsid w:val="00030E5F"/>
    <w:rsid w:val="0004518B"/>
    <w:rsid w:val="000455CF"/>
    <w:rsid w:val="00090065"/>
    <w:rsid w:val="000B2865"/>
    <w:rsid w:val="000B7A9C"/>
    <w:rsid w:val="000C187F"/>
    <w:rsid w:val="000D125E"/>
    <w:rsid w:val="000D1340"/>
    <w:rsid w:val="000D7EBD"/>
    <w:rsid w:val="000F38E7"/>
    <w:rsid w:val="00102A1A"/>
    <w:rsid w:val="00117520"/>
    <w:rsid w:val="001238A3"/>
    <w:rsid w:val="00134AB2"/>
    <w:rsid w:val="00140B77"/>
    <w:rsid w:val="001621EA"/>
    <w:rsid w:val="00173BCA"/>
    <w:rsid w:val="001906AD"/>
    <w:rsid w:val="001A339C"/>
    <w:rsid w:val="001B3EAF"/>
    <w:rsid w:val="001C2AD0"/>
    <w:rsid w:val="001C7C7B"/>
    <w:rsid w:val="001D453A"/>
    <w:rsid w:val="00206039"/>
    <w:rsid w:val="00207929"/>
    <w:rsid w:val="002134EF"/>
    <w:rsid w:val="002170C3"/>
    <w:rsid w:val="00266DBC"/>
    <w:rsid w:val="00273385"/>
    <w:rsid w:val="00275C10"/>
    <w:rsid w:val="002A0703"/>
    <w:rsid w:val="002D5C7C"/>
    <w:rsid w:val="002D755C"/>
    <w:rsid w:val="002F1E1A"/>
    <w:rsid w:val="00301CAB"/>
    <w:rsid w:val="00316EF4"/>
    <w:rsid w:val="003261C6"/>
    <w:rsid w:val="003306C8"/>
    <w:rsid w:val="00352AFB"/>
    <w:rsid w:val="0035645F"/>
    <w:rsid w:val="00363C41"/>
    <w:rsid w:val="00364A4D"/>
    <w:rsid w:val="003717F8"/>
    <w:rsid w:val="00374977"/>
    <w:rsid w:val="00381645"/>
    <w:rsid w:val="003818D8"/>
    <w:rsid w:val="0038221A"/>
    <w:rsid w:val="00384153"/>
    <w:rsid w:val="003A5C79"/>
    <w:rsid w:val="003B2DA4"/>
    <w:rsid w:val="003B3D63"/>
    <w:rsid w:val="003D0619"/>
    <w:rsid w:val="003E6923"/>
    <w:rsid w:val="003F67BF"/>
    <w:rsid w:val="00402A08"/>
    <w:rsid w:val="004042AF"/>
    <w:rsid w:val="00416297"/>
    <w:rsid w:val="00433E58"/>
    <w:rsid w:val="0043490F"/>
    <w:rsid w:val="00466F21"/>
    <w:rsid w:val="004719A1"/>
    <w:rsid w:val="004758E1"/>
    <w:rsid w:val="00476913"/>
    <w:rsid w:val="00486767"/>
    <w:rsid w:val="00491AA7"/>
    <w:rsid w:val="004A5A3C"/>
    <w:rsid w:val="004C28A0"/>
    <w:rsid w:val="004C6435"/>
    <w:rsid w:val="004D1A7B"/>
    <w:rsid w:val="004E10D1"/>
    <w:rsid w:val="004E5951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936F5"/>
    <w:rsid w:val="005B39C8"/>
    <w:rsid w:val="005C2CA0"/>
    <w:rsid w:val="005C3BF6"/>
    <w:rsid w:val="005D652D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651F6"/>
    <w:rsid w:val="00682798"/>
    <w:rsid w:val="006A487A"/>
    <w:rsid w:val="006A58EF"/>
    <w:rsid w:val="006C2BFE"/>
    <w:rsid w:val="006E24E4"/>
    <w:rsid w:val="006F33C5"/>
    <w:rsid w:val="006F3749"/>
    <w:rsid w:val="006F3F5A"/>
    <w:rsid w:val="006F5E11"/>
    <w:rsid w:val="00703724"/>
    <w:rsid w:val="00707886"/>
    <w:rsid w:val="007242C1"/>
    <w:rsid w:val="00734134"/>
    <w:rsid w:val="00741CD3"/>
    <w:rsid w:val="00743C59"/>
    <w:rsid w:val="00753563"/>
    <w:rsid w:val="0076201C"/>
    <w:rsid w:val="00772511"/>
    <w:rsid w:val="00781E43"/>
    <w:rsid w:val="00782B2D"/>
    <w:rsid w:val="00793064"/>
    <w:rsid w:val="007E02B4"/>
    <w:rsid w:val="007E52A5"/>
    <w:rsid w:val="00803B58"/>
    <w:rsid w:val="0081502E"/>
    <w:rsid w:val="008423DF"/>
    <w:rsid w:val="00856677"/>
    <w:rsid w:val="008657C2"/>
    <w:rsid w:val="00873561"/>
    <w:rsid w:val="0087509B"/>
    <w:rsid w:val="00886818"/>
    <w:rsid w:val="00891C82"/>
    <w:rsid w:val="008A0DAA"/>
    <w:rsid w:val="008A1B49"/>
    <w:rsid w:val="008C09D9"/>
    <w:rsid w:val="008C1FFE"/>
    <w:rsid w:val="008D07F0"/>
    <w:rsid w:val="008D0D22"/>
    <w:rsid w:val="008E13FD"/>
    <w:rsid w:val="009115A4"/>
    <w:rsid w:val="00912AFD"/>
    <w:rsid w:val="00920480"/>
    <w:rsid w:val="0092426B"/>
    <w:rsid w:val="00930337"/>
    <w:rsid w:val="00934538"/>
    <w:rsid w:val="00937AFB"/>
    <w:rsid w:val="00947AC5"/>
    <w:rsid w:val="00947B60"/>
    <w:rsid w:val="0095604C"/>
    <w:rsid w:val="009624C7"/>
    <w:rsid w:val="0096422E"/>
    <w:rsid w:val="00982FAE"/>
    <w:rsid w:val="00985CA3"/>
    <w:rsid w:val="009A3DD5"/>
    <w:rsid w:val="009B2B39"/>
    <w:rsid w:val="009F5594"/>
    <w:rsid w:val="00A06AA3"/>
    <w:rsid w:val="00A23937"/>
    <w:rsid w:val="00A3783D"/>
    <w:rsid w:val="00A45DB4"/>
    <w:rsid w:val="00A62E22"/>
    <w:rsid w:val="00A646A7"/>
    <w:rsid w:val="00A7582E"/>
    <w:rsid w:val="00A80BDC"/>
    <w:rsid w:val="00A84336"/>
    <w:rsid w:val="00AA1202"/>
    <w:rsid w:val="00AA4451"/>
    <w:rsid w:val="00AA6230"/>
    <w:rsid w:val="00AE382C"/>
    <w:rsid w:val="00B27820"/>
    <w:rsid w:val="00B36AE1"/>
    <w:rsid w:val="00B451CD"/>
    <w:rsid w:val="00B65A2B"/>
    <w:rsid w:val="00B87E29"/>
    <w:rsid w:val="00BB05D7"/>
    <w:rsid w:val="00BC3669"/>
    <w:rsid w:val="00BE15AF"/>
    <w:rsid w:val="00BF3500"/>
    <w:rsid w:val="00C06F5E"/>
    <w:rsid w:val="00C21661"/>
    <w:rsid w:val="00C22AC1"/>
    <w:rsid w:val="00C3437D"/>
    <w:rsid w:val="00C36D8F"/>
    <w:rsid w:val="00C546FF"/>
    <w:rsid w:val="00C653CC"/>
    <w:rsid w:val="00C748B3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12B3A"/>
    <w:rsid w:val="00D17A0F"/>
    <w:rsid w:val="00D20398"/>
    <w:rsid w:val="00D219FA"/>
    <w:rsid w:val="00D22C0F"/>
    <w:rsid w:val="00D358C1"/>
    <w:rsid w:val="00D35EBC"/>
    <w:rsid w:val="00D37276"/>
    <w:rsid w:val="00D378CB"/>
    <w:rsid w:val="00D43E81"/>
    <w:rsid w:val="00D50328"/>
    <w:rsid w:val="00D50BBE"/>
    <w:rsid w:val="00D64F8C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4CAC"/>
    <w:rsid w:val="00DD71ED"/>
    <w:rsid w:val="00DE780A"/>
    <w:rsid w:val="00DF233E"/>
    <w:rsid w:val="00E00D23"/>
    <w:rsid w:val="00E01068"/>
    <w:rsid w:val="00E014E8"/>
    <w:rsid w:val="00E10BE1"/>
    <w:rsid w:val="00E2370B"/>
    <w:rsid w:val="00E2716B"/>
    <w:rsid w:val="00E402CA"/>
    <w:rsid w:val="00E465AD"/>
    <w:rsid w:val="00E614AA"/>
    <w:rsid w:val="00E8558B"/>
    <w:rsid w:val="00E90F84"/>
    <w:rsid w:val="00E91C97"/>
    <w:rsid w:val="00EB00E3"/>
    <w:rsid w:val="00EB540B"/>
    <w:rsid w:val="00EB5AB6"/>
    <w:rsid w:val="00EB7485"/>
    <w:rsid w:val="00EC1EA6"/>
    <w:rsid w:val="00EE2815"/>
    <w:rsid w:val="00F07A2E"/>
    <w:rsid w:val="00F15C9A"/>
    <w:rsid w:val="00F17681"/>
    <w:rsid w:val="00F31890"/>
    <w:rsid w:val="00F44F17"/>
    <w:rsid w:val="00F567E1"/>
    <w:rsid w:val="00F617CF"/>
    <w:rsid w:val="00F626C1"/>
    <w:rsid w:val="00F67411"/>
    <w:rsid w:val="00F81BE3"/>
    <w:rsid w:val="00FA77F9"/>
    <w:rsid w:val="00FB4BBD"/>
    <w:rsid w:val="00FC38D2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D1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92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9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stoibie@ya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B7263-CEAD-402C-A542-D04F0FAD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2013-11-08T10:00:00Z</cp:lastPrinted>
  <dcterms:created xsi:type="dcterms:W3CDTF">2013-11-08T06:56:00Z</dcterms:created>
  <dcterms:modified xsi:type="dcterms:W3CDTF">2013-11-08T10:00:00Z</dcterms:modified>
</cp:coreProperties>
</file>